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岳阳市经济技术开发区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highlight w:val="none"/>
        </w:rPr>
        <w:t>年产5000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highlight w:val="none"/>
          <w:lang w:eastAsia="zh-CN"/>
        </w:rPr>
        <w:t>吨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highlight w:val="none"/>
        </w:rPr>
        <w:t>重包膜建设项目</w:t>
      </w:r>
      <w:r>
        <w:rPr>
          <w:rFonts w:hint="eastAsia"/>
          <w:b/>
          <w:bCs/>
          <w:sz w:val="36"/>
          <w:szCs w:val="36"/>
        </w:rPr>
        <w:t>环境影响报告表技术审查意见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= 1 \* CHINESENUM3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、报告表编制质量：</w:t>
      </w: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该报告表内容较为全面，环境现状调查基本符合实际情况，适用标准正确，提出的污染防治措施较为可行，评价结论总体可信，报告表经适当修改后可上报审批。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= 2 \* CHINESENUM3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、工程建设和报告表修改中应注意的几个问题：</w:t>
      </w: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= 1 \* Arabic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项目所在地属于经开区“退二进三”政策的范畴，文本</w:t>
      </w:r>
      <w:r>
        <w:rPr>
          <w:rFonts w:hint="eastAsia" w:ascii="仿宋" w:hAnsi="仿宋" w:eastAsia="仿宋" w:cs="仿宋"/>
          <w:sz w:val="28"/>
          <w:szCs w:val="28"/>
        </w:rPr>
        <w:t>须进一步补充说明本项目周边的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环境保护敏感目标</w:t>
      </w:r>
      <w:r>
        <w:rPr>
          <w:rFonts w:hint="eastAsia" w:ascii="仿宋" w:hAnsi="仿宋" w:eastAsia="仿宋" w:cs="仿宋"/>
          <w:sz w:val="28"/>
          <w:szCs w:val="28"/>
        </w:rPr>
        <w:t>基础背景状况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，并强化选址合理性的分析。</w:t>
      </w: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= 2 \* Arabic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鉴于项目所在地较为敏感，</w:t>
      </w:r>
      <w:r>
        <w:rPr>
          <w:rFonts w:hint="eastAsia" w:ascii="仿宋" w:hAnsi="仿宋" w:eastAsia="仿宋" w:cs="仿宋"/>
          <w:sz w:val="28"/>
          <w:szCs w:val="28"/>
        </w:rPr>
        <w:t>报告表中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应对无组织排放的有机废气的处理工艺进行详述，以论证处理效果的可达性及减少对周边居民的不利影响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落实活性炭吸附工艺中活性炭的使用周期，核实年产废活性炭的量。补充与资质单位的危废处置协议。</w:t>
      </w: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进一步优化</w:t>
      </w:r>
      <w:r>
        <w:rPr>
          <w:rFonts w:hint="eastAsia" w:ascii="仿宋" w:hAnsi="仿宋" w:eastAsia="仿宋" w:cs="仿宋"/>
          <w:sz w:val="28"/>
          <w:szCs w:val="28"/>
        </w:rPr>
        <w:t>本项目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平面布局，尽量减轻厂界噪声扰民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5、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强化本项目“以新带老”对现有污染物减量化处置及改扩建后总量削减的论证。</w:t>
      </w:r>
    </w:p>
    <w:p>
      <w:pPr>
        <w:pStyle w:val="4"/>
        <w:ind w:left="420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6、报告表应对本项目选址的合理性做进一步分析，提出本项目选址与周边建筑物合适的距离。</w:t>
      </w:r>
    </w:p>
    <w:p>
      <w:pPr>
        <w:ind w:firstLine="5600" w:firstLineChars="20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陈文雄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</w:t>
      </w:r>
    </w:p>
    <w:p>
      <w:pPr>
        <w:ind w:firstLine="4760" w:firstLineChars="1700"/>
      </w:pPr>
      <w:r>
        <w:rPr>
          <w:rFonts w:hint="eastAsia" w:ascii="仿宋" w:hAnsi="仿宋" w:eastAsia="仿宋" w:cs="仿宋"/>
          <w:sz w:val="28"/>
          <w:szCs w:val="28"/>
        </w:rPr>
        <w:t>二〇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二一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月二日</w:t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湖南长进石油化工有限公司年产5000吨重包膜建设项目</w:t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环境影响报告表审查意见</w:t>
      </w:r>
    </w:p>
    <w:p>
      <w:pPr>
        <w:spacing w:line="480" w:lineRule="auto"/>
        <w:rPr>
          <w:rFonts w:hint="eastAsia" w:ascii="Times New Roman" w:hAnsi="Times New Roman" w:eastAsia="宋体" w:cs="Times New Roman"/>
          <w:b/>
          <w:sz w:val="24"/>
          <w:szCs w:val="24"/>
        </w:rPr>
      </w:pP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1、项目由来应明确已环评并审批的项目只进行2500吨/年聚丙烯纺粘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非织造布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的生产，今后也不再进行扩产。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2、补充分析改扩建工程使用的主要生产设备（结合生产时间）与项目产能的匹配性。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3、环境空气质量标准CO单位为毫克/立方米，用微克/立方米则标准值相应调整。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4、论证有机废气经一级活性炭吸附处理达标排放的可靠性、可行性，且一级活性炭吸附处理不可能达到90%的处理效率。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5、在核实有机废气处理工艺可行性的基础上校核“三本账”和总量指标。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6、污水处理厂接纳可行性分析应补充罗家坡污水处理厂规模、现接纳水量。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7、项目选址属于“退二进三政策”场址，原则上不新上项目，本项目实为新增项目，据此应充分论证项目选址的合理性或解决办法。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8、明确一般固废暂存间、危废暂存间的面积、位置和建设要求。</w:t>
      </w:r>
    </w:p>
    <w:p>
      <w:pPr>
        <w:spacing w:line="480" w:lineRule="auto"/>
        <w:ind w:firstLine="470" w:firstLineChars="196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9、补充与VOCs有关政策相符性分析。</w:t>
      </w:r>
    </w:p>
    <w:p>
      <w:pPr>
        <w:spacing w:line="480" w:lineRule="auto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line="480" w:lineRule="auto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审查专家：陈度怀</w:t>
      </w:r>
    </w:p>
    <w:p>
      <w:pPr>
        <w:spacing w:line="480" w:lineRule="auto"/>
        <w:jc w:val="right"/>
        <w:rPr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2021年2月2日</w:t>
      </w:r>
    </w:p>
    <w:p>
      <w:pPr>
        <w:jc w:val="center"/>
        <w:rPr>
          <w:rFonts w:cs="Times New Roman" w:asciiTheme="minorEastAsia" w:hAnsiTheme="minorEastAsia"/>
          <w:b/>
          <w:sz w:val="36"/>
          <w:szCs w:val="36"/>
        </w:rPr>
        <w:sectPr>
          <w:pgSz w:w="11906" w:h="16838"/>
          <w:pgMar w:top="1440" w:right="1486" w:bottom="1440" w:left="16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cs="Times New Roman" w:asciiTheme="minorEastAsia" w:hAnsiTheme="minorEastAsia"/>
          <w:b/>
          <w:sz w:val="36"/>
          <w:szCs w:val="36"/>
        </w:rPr>
      </w:pPr>
      <w:r>
        <w:rPr>
          <w:rFonts w:cs="Times New Roman" w:asciiTheme="minorEastAsia" w:hAnsiTheme="minorEastAsia"/>
          <w:b/>
          <w:sz w:val="36"/>
          <w:szCs w:val="36"/>
        </w:rPr>
        <w:t>年产5000吨重包膜建设项目</w:t>
      </w:r>
      <w:r>
        <w:rPr>
          <w:rFonts w:hint="eastAsia" w:cs="Times New Roman" w:asciiTheme="minorEastAsia" w:hAnsiTheme="minorEastAsia"/>
          <w:b/>
          <w:sz w:val="36"/>
          <w:szCs w:val="36"/>
        </w:rPr>
        <w:t>环境影响报告表</w:t>
      </w:r>
    </w:p>
    <w:p>
      <w:pPr>
        <w:jc w:val="center"/>
        <w:rPr>
          <w:rFonts w:hint="eastAsia" w:cs="Times New Roman" w:asciiTheme="minorEastAsia" w:hAnsiTheme="minorEastAsia"/>
          <w:b/>
          <w:sz w:val="36"/>
          <w:szCs w:val="36"/>
        </w:rPr>
      </w:pPr>
      <w:r>
        <w:rPr>
          <w:rFonts w:hint="eastAsia" w:cs="Times New Roman" w:asciiTheme="minorEastAsia" w:hAnsiTheme="minorEastAsia"/>
          <w:b/>
          <w:sz w:val="36"/>
          <w:szCs w:val="36"/>
        </w:rPr>
        <w:t>函 审 意 见</w:t>
      </w:r>
    </w:p>
    <w:p>
      <w:pPr>
        <w:rPr>
          <w:rFonts w:hint="eastAsia" w:ascii="Times New Roman" w:hAnsi="Times New Roman" w:eastAsia="宋体" w:cs="Times New Roman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1、强化项目建设与挥发性有机物污染防治技术政策的相符性。新增VOC采取等量削减的措施。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2、细化现有项目产排污现状监测和调查，实测废气污染源强，分析是否满足挥发性有机物无组织排放标准的相关要求，据此提出以新带老的措施。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3、图示项目改扩建后多条生产线的分布、排气筒设置情况，分析项目平面布局的合理性。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4、补充收集、调查项目特征因子非甲烷总烃的现状监测数据。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5、补充印刷油墨成份分析单，要求采用水性油墨。校核印刷机清洁废水量，以及全部回用作为稀释用水的可行性。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6、对照挥发性有机物污染防治技术政策，根据同类企业有机废气的源强，校核废气污染防治措施的合理性和可行性，原则上有机废气应有两级处理。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7、对照危险废物名录2021版，校核废印刷版、废油墨包装桶的属性。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5920" w:firstLineChars="18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蒋 卉</w:t>
      </w:r>
    </w:p>
    <w:p>
      <w:pPr>
        <w:ind w:firstLine="5280" w:firstLineChars="165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2021年2月3日</w:t>
      </w:r>
      <w:bookmarkStart w:id="0" w:name="_GoBack"/>
      <w:bookmarkEnd w:id="0"/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A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2021-02-04T13:56:12Z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